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 - Teacher Education Track</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Recommended Graduation Plan (Fall 2024)</w:t>
      </w:r>
    </w:p>
    <w:p w:rsidR="00000000" w:rsidDel="00000000" w:rsidP="00000000" w:rsidRDefault="00000000" w:rsidRPr="00000000" w14:paraId="00000008">
      <w:pPr>
        <w:rPr>
          <w:sz w:val="4"/>
          <w:szCs w:val="4"/>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rPr>
          <w:b w:val="1"/>
          <w:sz w:val="20"/>
          <w:szCs w:val="20"/>
        </w:rPr>
      </w:pPr>
      <w:r w:rsidDel="00000000" w:rsidR="00000000" w:rsidRPr="00000000">
        <w:rPr>
          <w:b w:val="1"/>
          <w:sz w:val="18"/>
          <w:szCs w:val="18"/>
          <w:rtl w:val="0"/>
        </w:rPr>
        <w:t xml:space="preserve">NOTE:</w:t>
      </w:r>
      <w:r w:rsidDel="00000000" w:rsidR="00000000" w:rsidRPr="00000000">
        <w:rPr>
          <w:sz w:val="18"/>
          <w:szCs w:val="18"/>
          <w:rtl w:val="0"/>
        </w:rPr>
        <w:t xml:space="preserve"> This recommended Graduation Plan is applicable to students admitted into the major during the 2024-2025 academic year.</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8">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tabs>
                <w:tab w:val="left" w:leader="none" w:pos="930"/>
              </w:tabs>
              <w:rPr>
                <w:sz w:val="20"/>
                <w:szCs w:val="20"/>
              </w:rPr>
            </w:pPr>
            <w:r w:rsidDel="00000000" w:rsidR="00000000" w:rsidRPr="00000000">
              <w:rPr>
                <w:sz w:val="20"/>
                <w:szCs w:val="20"/>
                <w:rtl w:val="0"/>
              </w:rPr>
              <w:t xml:space="preserve">Major:ARTS 210-Life Drawing (Spring only)</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CRWT 102 - Critical Reading &amp; Writing </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Ed/AT: (QR) Quantitative Reasoning </w:t>
            </w:r>
          </w:p>
          <w:p w:rsidR="00000000" w:rsidDel="00000000" w:rsidP="00000000" w:rsidRDefault="00000000" w:rsidRPr="00000000" w14:paraId="0000002F">
            <w:pPr>
              <w:rPr>
                <w:sz w:val="20"/>
                <w:szCs w:val="20"/>
              </w:rPr>
            </w:pPr>
            <w:r w:rsidDel="00000000" w:rsidR="00000000" w:rsidRPr="00000000">
              <w:rPr>
                <w:sz w:val="20"/>
                <w:szCs w:val="20"/>
                <w:rtl w:val="0"/>
              </w:rPr>
              <w:t xml:space="preserve">Math 108 - Elementary Prob and Stats (required)</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SOSC 110 - Social Science Inquiry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Major: ARTS 211 or ARTS 202 or ARTS 207</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Major: ARTS 101-Fundamentals of Drawing</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Gen E</w:t>
            </w:r>
            <w:r w:rsidDel="00000000" w:rsidR="00000000" w:rsidRPr="00000000">
              <w:rPr>
                <w:sz w:val="20"/>
                <w:szCs w:val="20"/>
                <w:highlight w:val="white"/>
                <w:rtl w:val="0"/>
              </w:rPr>
              <w:t xml:space="preserve">d</w:t>
            </w:r>
            <w:r w:rsidDel="00000000" w:rsidR="00000000" w:rsidRPr="00000000">
              <w:rPr>
                <w:sz w:val="20"/>
                <w:szCs w:val="20"/>
                <w:highlight w:val="yellow"/>
                <w:rtl w:val="0"/>
              </w:rPr>
              <w:t xml:space="preserve">/EDU</w:t>
            </w:r>
            <w:r w:rsidDel="00000000" w:rsidR="00000000" w:rsidRPr="00000000">
              <w:rPr>
                <w:sz w:val="20"/>
                <w:szCs w:val="20"/>
                <w:rtl w:val="0"/>
              </w:rPr>
              <w:t xml:space="preserve">: (SR) Scientific Reasoning BIOL 101</w:t>
            </w:r>
          </w:p>
        </w:tc>
        <w:tc>
          <w:tcPr/>
          <w:p w:rsidR="00000000" w:rsidDel="00000000" w:rsidP="00000000" w:rsidRDefault="00000000" w:rsidRPr="00000000" w14:paraId="0000003C">
            <w:pPr>
              <w:jc w:val="cente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Take Praxis 1 one by end of this year</w:t>
            </w:r>
          </w:p>
        </w:tc>
        <w:tc>
          <w:tcPr/>
          <w:p w:rsidR="00000000" w:rsidDel="00000000" w:rsidP="00000000" w:rsidRDefault="00000000" w:rsidRPr="00000000" w14:paraId="00000042">
            <w:pPr>
              <w:jc w:val="cente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16</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tbl>
      <w:tblPr>
        <w:tblStyle w:val="Table4"/>
        <w:tblW w:w="53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1080"/>
        <w:gridCol w:w="450"/>
        <w:tblGridChange w:id="0">
          <w:tblGrid>
            <w:gridCol w:w="3775"/>
            <w:gridCol w:w="1080"/>
            <w:gridCol w:w="450"/>
          </w:tblGrid>
        </w:tblGridChange>
      </w:tblGrid>
      <w:tr>
        <w:trPr>
          <w:cantSplit w:val="0"/>
          <w:tblHeader w:val="0"/>
        </w:trPr>
        <w:tc>
          <w:tcPr/>
          <w:p w:rsidR="00000000" w:rsidDel="00000000" w:rsidP="00000000" w:rsidRDefault="00000000" w:rsidRPr="00000000" w14:paraId="0000004C">
            <w:pPr>
              <w:rPr>
                <w:sz w:val="22"/>
                <w:szCs w:val="22"/>
              </w:rPr>
            </w:pPr>
            <w:r w:rsidDel="00000000" w:rsidR="00000000" w:rsidRPr="00000000">
              <w:rPr>
                <w:sz w:val="22"/>
                <w:szCs w:val="22"/>
                <w:highlight w:val="cyan"/>
                <w:rtl w:val="0"/>
              </w:rPr>
              <w:t xml:space="preserve">Summer</w:t>
            </w:r>
            <w:r w:rsidDel="00000000" w:rsidR="00000000" w:rsidRPr="00000000">
              <w:rPr>
                <w:sz w:val="22"/>
                <w:szCs w:val="22"/>
                <w:rtl w:val="0"/>
              </w:rPr>
              <w:t xml:space="preserve"> </w:t>
            </w:r>
          </w:p>
        </w:tc>
        <w:tc>
          <w:tcPr/>
          <w:p w:rsidR="00000000" w:rsidDel="00000000" w:rsidP="00000000" w:rsidRDefault="00000000" w:rsidRPr="00000000" w14:paraId="0000004D">
            <w:pPr>
              <w:rPr>
                <w:sz w:val="22"/>
                <w:szCs w:val="22"/>
              </w:rPr>
            </w:pPr>
            <w:r w:rsidDel="00000000" w:rsidR="00000000" w:rsidRPr="00000000">
              <w:rPr>
                <w:rtl w:val="0"/>
              </w:rPr>
            </w:r>
          </w:p>
        </w:tc>
        <w:tc>
          <w:tcPr/>
          <w:p w:rsidR="00000000" w:rsidDel="00000000" w:rsidP="00000000" w:rsidRDefault="00000000" w:rsidRPr="00000000" w14:paraId="0000004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F">
            <w:pPr>
              <w:rPr>
                <w:sz w:val="22"/>
                <w:szCs w:val="22"/>
              </w:rPr>
            </w:pPr>
            <w:r w:rsidDel="00000000" w:rsidR="00000000" w:rsidRPr="00000000">
              <w:rPr>
                <w:sz w:val="22"/>
                <w:szCs w:val="22"/>
                <w:rtl w:val="0"/>
              </w:rPr>
              <w:t xml:space="preserve">EDU: PSYC 101 Introduction to Psycology</w:t>
            </w:r>
          </w:p>
        </w:tc>
        <w:tc>
          <w:tcPr/>
          <w:p w:rsidR="00000000" w:rsidDel="00000000" w:rsidP="00000000" w:rsidRDefault="00000000" w:rsidRPr="00000000" w14:paraId="00000050">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51">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2">
            <w:pPr>
              <w:rPr>
                <w:sz w:val="22"/>
                <w:szCs w:val="22"/>
              </w:rPr>
            </w:pPr>
            <w:r w:rsidDel="00000000" w:rsidR="00000000" w:rsidRPr="00000000">
              <w:rPr>
                <w:sz w:val="20"/>
                <w:szCs w:val="20"/>
                <w:rtl w:val="0"/>
              </w:rPr>
              <w:t xml:space="preserve">Gen Ed: AIID 201 Studies in Arts and Humanities</w:t>
            </w:r>
            <w:r w:rsidDel="00000000" w:rsidR="00000000" w:rsidRPr="00000000">
              <w:rPr>
                <w:rtl w:val="0"/>
              </w:rPr>
            </w:r>
          </w:p>
        </w:tc>
        <w:tc>
          <w:tcPr/>
          <w:p w:rsidR="00000000" w:rsidDel="00000000" w:rsidP="00000000" w:rsidRDefault="00000000" w:rsidRPr="00000000" w14:paraId="00000053">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5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56">
            <w:pPr>
              <w:rPr>
                <w:sz w:val="22"/>
                <w:szCs w:val="22"/>
              </w:rPr>
            </w:pPr>
            <w:r w:rsidDel="00000000" w:rsidR="00000000" w:rsidRPr="00000000">
              <w:rPr>
                <w:sz w:val="22"/>
                <w:szCs w:val="22"/>
                <w:rtl w:val="0"/>
              </w:rPr>
              <w:t xml:space="preserve">8</w:t>
            </w:r>
          </w:p>
        </w:tc>
        <w:tc>
          <w:tcPr/>
          <w:p w:rsidR="00000000" w:rsidDel="00000000" w:rsidP="00000000" w:rsidRDefault="00000000" w:rsidRPr="00000000" w14:paraId="00000057">
            <w:pPr>
              <w:rPr>
                <w:sz w:val="22"/>
                <w:szCs w:val="22"/>
              </w:rPr>
            </w:pPr>
            <w:r w:rsidDel="00000000" w:rsidR="00000000" w:rsidRPr="00000000">
              <w:rPr>
                <w:rtl w:val="0"/>
              </w:rPr>
            </w:r>
          </w:p>
        </w:tc>
      </w:tr>
    </w:tbl>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6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2">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5">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29.9609375" w:hRule="atLeast"/>
          <w:tblHeader w:val="0"/>
        </w:trPr>
        <w:tc>
          <w:tcPr/>
          <w:p w:rsidR="00000000" w:rsidDel="00000000" w:rsidP="00000000" w:rsidRDefault="00000000" w:rsidRPr="00000000" w14:paraId="00000066">
            <w:pPr>
              <w:rPr>
                <w:sz w:val="20"/>
                <w:szCs w:val="20"/>
              </w:rPr>
            </w:pPr>
            <w:r w:rsidDel="00000000" w:rsidR="00000000" w:rsidRPr="00000000">
              <w:rPr>
                <w:sz w:val="20"/>
                <w:szCs w:val="20"/>
                <w:rtl w:val="0"/>
              </w:rPr>
              <w:t xml:space="preserve">Major: ARTS 201-Basic Painting</w:t>
            </w:r>
          </w:p>
        </w:tc>
        <w:tc>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bookmarkStart w:colFirst="0" w:colLast="0" w:name="_heading=h.gjdgxs" w:id="0"/>
            <w:bookmarkEnd w:id="0"/>
            <w:r w:rsidDel="00000000" w:rsidR="00000000" w:rsidRPr="00000000">
              <w:rPr>
                <w:sz w:val="20"/>
                <w:szCs w:val="20"/>
                <w:rtl w:val="0"/>
              </w:rPr>
              <w:t xml:space="preserve">Gen Ed/Major: (GA) ARHT 204-Introduction to Global Art Traditions </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Gen Ed/</w:t>
            </w:r>
            <w:r w:rsidDel="00000000" w:rsidR="00000000" w:rsidRPr="00000000">
              <w:rPr>
                <w:sz w:val="20"/>
                <w:szCs w:val="20"/>
                <w:highlight w:val="yellow"/>
                <w:rtl w:val="0"/>
              </w:rPr>
              <w:t xml:space="preserve">EDU</w:t>
            </w:r>
            <w:r w:rsidDel="00000000" w:rsidR="00000000" w:rsidRPr="00000000">
              <w:rPr>
                <w:sz w:val="20"/>
                <w:szCs w:val="20"/>
                <w:rtl w:val="0"/>
              </w:rPr>
              <w:t xml:space="preserve">: (VE) Values and Ethics: EDUC 211- Student Literacy Corps </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PSYC 215</w:t>
            </w:r>
          </w:p>
        </w:tc>
        <w:tc>
          <w:tcPr>
            <w:shd w:fill="ffffff" w:val="clear"/>
          </w:tcPr>
          <w:p w:rsidR="00000000" w:rsidDel="00000000" w:rsidP="00000000" w:rsidRDefault="00000000" w:rsidRPr="00000000" w14:paraId="0000007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Gen Ed/Major: (HP) ARHT 245-Masterpieces in Western Civ. </w:t>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Gen Ed: (CC) Culture and Creativity OR (SSS) Systems, Sustainability and Society,</w:t>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sz w:val="20"/>
                <w:szCs w:val="20"/>
              </w:rPr>
            </w:pPr>
            <w:r w:rsidDel="00000000" w:rsidR="00000000" w:rsidRPr="00000000">
              <w:rPr>
                <w:sz w:val="20"/>
                <w:szCs w:val="20"/>
                <w:rtl w:val="0"/>
              </w:rPr>
              <w:t xml:space="preserve">Major: ARTS 211 or ARTS 202 or ARTS 207</w:t>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sz w:val="20"/>
                <w:szCs w:val="20"/>
              </w:rPr>
            </w:pPr>
            <w:r w:rsidDel="00000000" w:rsidR="00000000" w:rsidRPr="00000000">
              <w:rPr>
                <w:sz w:val="20"/>
                <w:szCs w:val="20"/>
                <w:rtl w:val="0"/>
              </w:rPr>
              <w:t xml:space="preserve">Major: Upper Level Drawing and Painting concentration elective (1 of 3)</w:t>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D">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E">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F">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80">
            <w:pPr>
              <w:rPr/>
            </w:pPr>
            <w:r w:rsidDel="00000000" w:rsidR="00000000" w:rsidRPr="00000000">
              <w:rPr>
                <w:rtl w:val="0"/>
              </w:rPr>
            </w:r>
          </w:p>
        </w:tc>
        <w:tc>
          <w:tcPr>
            <w:shd w:fill="ffffff" w:val="clear"/>
          </w:tcPr>
          <w:p w:rsidR="00000000" w:rsidDel="00000000" w:rsidP="00000000" w:rsidRDefault="00000000" w:rsidRPr="00000000" w14:paraId="00000081">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82">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8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8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6">
            <w:pPr>
              <w:rPr/>
            </w:pPr>
            <w:r w:rsidDel="00000000" w:rsidR="00000000" w:rsidRPr="00000000">
              <w:rPr>
                <w:rtl w:val="0"/>
              </w:rPr>
            </w:r>
          </w:p>
        </w:tc>
        <w:tc>
          <w:tcPr>
            <w:shd w:fill="ffffff" w:val="clear"/>
          </w:tcPr>
          <w:p w:rsidR="00000000" w:rsidDel="00000000" w:rsidP="00000000" w:rsidRDefault="00000000" w:rsidRPr="00000000" w14:paraId="0000008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sz w:val="22"/>
          <w:szCs w:val="22"/>
        </w:rPr>
      </w:pPr>
      <w:r w:rsidDel="00000000" w:rsidR="00000000" w:rsidRPr="00000000">
        <w:rPr>
          <w:rtl w:val="0"/>
        </w:rPr>
      </w:r>
    </w:p>
    <w:sdt>
      <w:sdtPr>
        <w:lock w:val="contentLocked"/>
        <w:tag w:val="goog_rdk_4"/>
      </w:sdtPr>
      <w:sdtContent>
        <w:tbl>
          <w:tblPr>
            <w:tblStyle w:val="Table6"/>
            <w:tblW w:w="5415.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5"/>
            <w:gridCol w:w="990"/>
            <w:gridCol w:w="450"/>
            <w:tblGridChange w:id="0">
              <w:tblGrid>
                <w:gridCol w:w="3975"/>
                <w:gridCol w:w="990"/>
                <w:gridCol w:w="450"/>
              </w:tblGrid>
            </w:tblGridChange>
          </w:tblGrid>
          <w:tr>
            <w:trPr>
              <w:cantSplit w:val="0"/>
              <w:tblHeader w:val="0"/>
            </w:trPr>
            <w:tc>
              <w:tcPr/>
              <w:p w:rsidR="00000000" w:rsidDel="00000000" w:rsidP="00000000" w:rsidRDefault="00000000" w:rsidRPr="00000000" w14:paraId="0000008B">
                <w:pPr>
                  <w:rPr>
                    <w:sz w:val="22"/>
                    <w:szCs w:val="22"/>
                  </w:rPr>
                </w:pPr>
                <w:r w:rsidDel="00000000" w:rsidR="00000000" w:rsidRPr="00000000">
                  <w:rPr>
                    <w:sz w:val="22"/>
                    <w:szCs w:val="22"/>
                    <w:highlight w:val="cyan"/>
                    <w:rtl w:val="0"/>
                  </w:rPr>
                  <w:t xml:space="preserve">Summer</w:t>
                </w:r>
                <w:r w:rsidDel="00000000" w:rsidR="00000000" w:rsidRPr="00000000">
                  <w:rPr>
                    <w:sz w:val="22"/>
                    <w:szCs w:val="22"/>
                    <w:rtl w:val="0"/>
                  </w:rPr>
                  <w:t xml:space="preserve"> </w:t>
                </w:r>
              </w:p>
            </w:tc>
            <w:tc>
              <w:tcPr/>
              <w:p w:rsidR="00000000" w:rsidDel="00000000" w:rsidP="00000000" w:rsidRDefault="00000000" w:rsidRPr="00000000" w14:paraId="0000008C">
                <w:pPr>
                  <w:rPr>
                    <w:sz w:val="22"/>
                    <w:szCs w:val="22"/>
                  </w:rPr>
                </w:pPr>
                <w:r w:rsidDel="00000000" w:rsidR="00000000" w:rsidRPr="00000000">
                  <w:rPr>
                    <w:rtl w:val="0"/>
                  </w:rPr>
                </w:r>
              </w:p>
            </w:tc>
            <w:tc>
              <w:tcPr/>
              <w:p w:rsidR="00000000" w:rsidDel="00000000" w:rsidP="00000000" w:rsidRDefault="00000000" w:rsidRPr="00000000" w14:paraId="0000008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E">
                <w:pPr>
                  <w:rPr>
                    <w:sz w:val="22"/>
                    <w:szCs w:val="22"/>
                  </w:rPr>
                </w:pPr>
                <w:r w:rsidDel="00000000" w:rsidR="00000000" w:rsidRPr="00000000">
                  <w:rPr>
                    <w:sz w:val="22"/>
                    <w:szCs w:val="22"/>
                    <w:rtl w:val="0"/>
                  </w:rPr>
                  <w:t xml:space="preserve">EDU: EDUC 221 Social Context of Education</w:t>
                </w:r>
              </w:p>
            </w:tc>
            <w:tc>
              <w:tcPr/>
              <w:p w:rsidR="00000000" w:rsidDel="00000000" w:rsidP="00000000" w:rsidRDefault="00000000" w:rsidRPr="00000000" w14:paraId="0000008F">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92">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3">
                <w:pPr>
                  <w:rPr>
                    <w:sz w:val="22"/>
                    <w:szCs w:val="22"/>
                  </w:rPr>
                </w:pPr>
                <w:r w:rsidDel="00000000" w:rsidR="00000000" w:rsidRPr="00000000">
                  <w:rPr>
                    <w:rtl w:val="0"/>
                  </w:rPr>
                </w:r>
              </w:p>
            </w:tc>
          </w:tr>
        </w:tbl>
      </w:sdtContent>
    </w:sdt>
    <w:p w:rsidR="00000000" w:rsidDel="00000000" w:rsidP="00000000" w:rsidRDefault="00000000" w:rsidRPr="00000000" w14:paraId="00000094">
      <w:pPr>
        <w:rPr>
          <w:sz w:val="22"/>
          <w:szCs w:val="22"/>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95">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9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D">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0">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Major: Upper Level Drawing and Painting concentration elective (2 of 3) </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 Major: Upper Level Drawing and Painting concentration elective (3 of 3)  </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r>
      <w:tr>
        <w:trPr>
          <w:cantSplit w:val="0"/>
          <w:trHeight w:val="519.9609375" w:hRule="atLeast"/>
          <w:tblHeader w:val="0"/>
        </w:trPr>
        <w:tc>
          <w:tcPr/>
          <w:p w:rsidR="00000000" w:rsidDel="00000000" w:rsidP="00000000" w:rsidRDefault="00000000" w:rsidRPr="00000000" w14:paraId="000000A7">
            <w:pPr>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222 Teaching Principles and Practice</w:t>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sz w:val="20"/>
                <w:szCs w:val="20"/>
                <w:rtl w:val="0"/>
              </w:rPr>
              <w:t xml:space="preserve">Major: ARTS 408-Senior Thesis Exhibition (Spring only)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4</w:t>
            </w:r>
          </w:p>
        </w:tc>
        <w:tc>
          <w:tcPr/>
          <w:p w:rsidR="00000000" w:rsidDel="00000000" w:rsidP="00000000" w:rsidRDefault="00000000" w:rsidRPr="00000000" w14:paraId="000000AC">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D">
            <w:pPr>
              <w:rPr>
                <w:sz w:val="20"/>
                <w:szCs w:val="20"/>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4</w:t>
            </w:r>
          </w:p>
        </w:tc>
        <w:tc>
          <w:tcPr/>
          <w:p w:rsidR="00000000" w:rsidDel="00000000" w:rsidP="00000000" w:rsidRDefault="00000000" w:rsidRPr="00000000" w14:paraId="000000AF">
            <w:pPr>
              <w:jc w:val="center"/>
              <w:rPr/>
            </w:pPr>
            <w:r w:rsidDel="00000000" w:rsidR="00000000" w:rsidRPr="00000000">
              <w:rPr>
                <w:rtl w:val="0"/>
              </w:rPr>
            </w:r>
          </w:p>
        </w:tc>
        <w:tc>
          <w:tcPr/>
          <w:p w:rsidR="00000000" w:rsidDel="00000000" w:rsidP="00000000" w:rsidRDefault="00000000" w:rsidRPr="00000000" w14:paraId="000000B0">
            <w:pPr>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241 Instructional Technology</w:t>
            </w:r>
          </w:p>
        </w:tc>
        <w:tc>
          <w:tcPr/>
          <w:p w:rsidR="00000000" w:rsidDel="00000000" w:rsidP="00000000" w:rsidRDefault="00000000" w:rsidRPr="00000000" w14:paraId="000000B1">
            <w:pPr>
              <w:jc w:val="center"/>
              <w:rPr/>
            </w:pPr>
            <w:r w:rsidDel="00000000" w:rsidR="00000000" w:rsidRPr="00000000">
              <w:rPr>
                <w:rtl w:val="0"/>
              </w:rPr>
              <w:t xml:space="preserve">4</w:t>
            </w:r>
          </w:p>
        </w:tc>
        <w:tc>
          <w:tcPr/>
          <w:p w:rsidR="00000000" w:rsidDel="00000000" w:rsidP="00000000" w:rsidRDefault="00000000" w:rsidRPr="00000000" w14:paraId="000000B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B3">
            <w:pPr>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/ART: ARTS 214 Basic Ceramics counts as Upper Level Elective only for EDU</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t xml:space="preserve">16</w:t>
            </w:r>
          </w:p>
        </w:tc>
        <w:tc>
          <w:tcPr/>
          <w:p w:rsidR="00000000" w:rsidDel="00000000" w:rsidP="00000000" w:rsidRDefault="00000000" w:rsidRPr="00000000" w14:paraId="000000BB">
            <w:pPr>
              <w:jc w:val="cente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t xml:space="preserve">16</w:t>
            </w:r>
          </w:p>
        </w:tc>
        <w:tc>
          <w:tcPr/>
          <w:p w:rsidR="00000000" w:rsidDel="00000000" w:rsidP="00000000" w:rsidRDefault="00000000" w:rsidRPr="00000000" w14:paraId="000000BE">
            <w:pPr>
              <w:jc w:val="center"/>
              <w:rPr/>
            </w:pPr>
            <w:r w:rsidDel="00000000" w:rsidR="00000000" w:rsidRPr="00000000">
              <w:rPr>
                <w:rtl w:val="0"/>
              </w:rPr>
            </w:r>
          </w:p>
        </w:tc>
      </w:tr>
    </w:tbl>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tl w:val="0"/>
        </w:rPr>
      </w:r>
    </w:p>
    <w:sdt>
      <w:sdtPr>
        <w:lock w:val="contentLocked"/>
        <w:tag w:val="goog_rdk_7"/>
      </w:sdtPr>
      <w:sdtContent>
        <w:tbl>
          <w:tblPr>
            <w:tblStyle w:val="Table8"/>
            <w:tblW w:w="53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0"/>
            <w:gridCol w:w="516"/>
            <w:gridCol w:w="400"/>
            <w:tblGridChange w:id="0">
              <w:tblGrid>
                <w:gridCol w:w="4480"/>
                <w:gridCol w:w="516"/>
                <w:gridCol w:w="400"/>
              </w:tblGrid>
            </w:tblGridChange>
          </w:tblGrid>
          <w:tr>
            <w:trPr>
              <w:cantSplit w:val="0"/>
              <w:trHeight w:val="285" w:hRule="atLeast"/>
              <w:tblHeader w:val="0"/>
            </w:trPr>
            <w:tc>
              <w:tcPr/>
              <w:p w:rsidR="00000000" w:rsidDel="00000000" w:rsidP="00000000" w:rsidRDefault="00000000" w:rsidRPr="00000000" w14:paraId="000000C1">
                <w:pPr>
                  <w:jc w:val="both"/>
                  <w:rPr>
                    <w:sz w:val="20"/>
                    <w:szCs w:val="20"/>
                    <w:highlight w:val="yellow"/>
                  </w:rPr>
                </w:pPr>
                <w:r w:rsidDel="00000000" w:rsidR="00000000" w:rsidRPr="00000000">
                  <w:rPr>
                    <w:sz w:val="20"/>
                    <w:szCs w:val="20"/>
                    <w:highlight w:val="cyan"/>
                    <w:rtl w:val="0"/>
                  </w:rPr>
                  <w:t xml:space="preserve">Summer</w:t>
                </w:r>
                <w:r w:rsidDel="00000000" w:rsidR="00000000" w:rsidRPr="00000000">
                  <w:rPr>
                    <w:rtl w:val="0"/>
                  </w:rPr>
                </w:r>
              </w:p>
            </w:tc>
            <w:tc>
              <w:tcPr/>
              <w:p w:rsidR="00000000" w:rsidDel="00000000" w:rsidP="00000000" w:rsidRDefault="00000000" w:rsidRPr="00000000" w14:paraId="000000C2">
                <w:pPr>
                  <w:jc w:val="both"/>
                  <w:rPr>
                    <w:sz w:val="20"/>
                    <w:szCs w:val="20"/>
                    <w:highlight w:val="cyan"/>
                  </w:rPr>
                </w:pPr>
                <w:r w:rsidDel="00000000" w:rsidR="00000000" w:rsidRPr="00000000">
                  <w:rPr>
                    <w:rtl w:val="0"/>
                  </w:rPr>
                </w:r>
              </w:p>
            </w:tc>
            <w:tc>
              <w:tcPr/>
              <w:p w:rsidR="00000000" w:rsidDel="00000000" w:rsidP="00000000" w:rsidRDefault="00000000" w:rsidRPr="00000000" w14:paraId="000000C3">
                <w:pPr>
                  <w:jc w:val="both"/>
                  <w:rPr>
                    <w:sz w:val="20"/>
                    <w:szCs w:val="20"/>
                    <w:highlight w:val="cyan"/>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4">
                <w:pPr>
                  <w:jc w:val="both"/>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360 Intro to Special Education </w:t>
                </w:r>
              </w:p>
            </w:tc>
            <w:tc>
              <w:tcPr/>
              <w:p w:rsidR="00000000" w:rsidDel="00000000" w:rsidP="00000000" w:rsidRDefault="00000000" w:rsidRPr="00000000" w14:paraId="000000C5">
                <w:pPr>
                  <w:jc w:val="both"/>
                  <w:rPr>
                    <w:sz w:val="20"/>
                    <w:szCs w:val="20"/>
                    <w:highlight w:val="yellow"/>
                  </w:rPr>
                </w:pPr>
                <w:r w:rsidDel="00000000" w:rsidR="00000000" w:rsidRPr="00000000">
                  <w:rPr>
                    <w:sz w:val="20"/>
                    <w:szCs w:val="20"/>
                    <w:highlight w:val="yellow"/>
                    <w:rtl w:val="0"/>
                  </w:rPr>
                  <w:t xml:space="preserve">4</w:t>
                </w:r>
              </w:p>
            </w:tc>
            <w:tc>
              <w:tcPr/>
              <w:p w:rsidR="00000000" w:rsidDel="00000000" w:rsidP="00000000" w:rsidRDefault="00000000" w:rsidRPr="00000000" w14:paraId="000000C6">
                <w:pPr>
                  <w:jc w:val="both"/>
                  <w:rPr>
                    <w:sz w:val="20"/>
                    <w:szCs w:val="20"/>
                    <w:highlight w:val="yellow"/>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jc w:val="both"/>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301 Meeting the Needs (co-req EDUC 360) </w:t>
                </w:r>
              </w:p>
            </w:tc>
            <w:tc>
              <w:tcPr/>
              <w:p w:rsidR="00000000" w:rsidDel="00000000" w:rsidP="00000000" w:rsidRDefault="00000000" w:rsidRPr="00000000" w14:paraId="000000C8">
                <w:pPr>
                  <w:jc w:val="both"/>
                  <w:rPr>
                    <w:sz w:val="20"/>
                    <w:szCs w:val="20"/>
                    <w:highlight w:val="yellow"/>
                  </w:rPr>
                </w:pPr>
                <w:r w:rsidDel="00000000" w:rsidR="00000000" w:rsidRPr="00000000">
                  <w:rPr>
                    <w:sz w:val="20"/>
                    <w:szCs w:val="20"/>
                    <w:highlight w:val="yellow"/>
                    <w:rtl w:val="0"/>
                  </w:rPr>
                  <w:t xml:space="preserve">2</w:t>
                </w:r>
              </w:p>
            </w:tc>
            <w:tc>
              <w:tcPr/>
              <w:p w:rsidR="00000000" w:rsidDel="00000000" w:rsidP="00000000" w:rsidRDefault="00000000" w:rsidRPr="00000000" w14:paraId="000000C9">
                <w:pPr>
                  <w:jc w:val="both"/>
                  <w:rPr>
                    <w:sz w:val="20"/>
                    <w:szCs w:val="20"/>
                    <w:highlight w:val="yellow"/>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jc w:val="both"/>
                  <w:rPr>
                    <w:sz w:val="20"/>
                    <w:szCs w:val="20"/>
                    <w:highlight w:val="yellow"/>
                  </w:rPr>
                </w:pPr>
                <w:r w:rsidDel="00000000" w:rsidR="00000000" w:rsidRPr="00000000">
                  <w:rPr>
                    <w:sz w:val="20"/>
                    <w:szCs w:val="20"/>
                    <w:highlight w:val="yellow"/>
                    <w:rtl w:val="0"/>
                  </w:rPr>
                  <w:t xml:space="preserve">Total:</w:t>
                </w:r>
              </w:p>
            </w:tc>
            <w:tc>
              <w:tcPr/>
              <w:p w:rsidR="00000000" w:rsidDel="00000000" w:rsidP="00000000" w:rsidRDefault="00000000" w:rsidRPr="00000000" w14:paraId="000000CB">
                <w:pPr>
                  <w:jc w:val="both"/>
                  <w:rPr>
                    <w:sz w:val="20"/>
                    <w:szCs w:val="20"/>
                    <w:highlight w:val="yellow"/>
                  </w:rPr>
                </w:pPr>
                <w:r w:rsidDel="00000000" w:rsidR="00000000" w:rsidRPr="00000000">
                  <w:rPr>
                    <w:sz w:val="20"/>
                    <w:szCs w:val="20"/>
                    <w:highlight w:val="yellow"/>
                    <w:rtl w:val="0"/>
                  </w:rPr>
                  <w:t xml:space="preserve">6</w:t>
                </w:r>
              </w:p>
            </w:tc>
            <w:tc>
              <w:tcPr/>
              <w:p w:rsidR="00000000" w:rsidDel="00000000" w:rsidP="00000000" w:rsidRDefault="00000000" w:rsidRPr="00000000" w14:paraId="000000CC">
                <w:pPr>
                  <w:jc w:val="both"/>
                  <w:rPr>
                    <w:sz w:val="20"/>
                    <w:szCs w:val="20"/>
                    <w:highlight w:val="yellow"/>
                  </w:rPr>
                </w:pPr>
                <w:r w:rsidDel="00000000" w:rsidR="00000000" w:rsidRPr="00000000">
                  <w:rPr>
                    <w:rtl w:val="0"/>
                  </w:rPr>
                </w:r>
              </w:p>
            </w:tc>
          </w:tr>
        </w:tbl>
      </w:sdtContent>
    </w:sdt>
    <w:p w:rsidR="00000000" w:rsidDel="00000000" w:rsidP="00000000" w:rsidRDefault="00000000" w:rsidRPr="00000000" w14:paraId="000000CD">
      <w:pPr>
        <w:rPr>
          <w:sz w:val="22"/>
          <w:szCs w:val="22"/>
        </w:rPr>
      </w:pPr>
      <w:r w:rsidDel="00000000" w:rsidR="00000000" w:rsidRPr="00000000">
        <w:rPr>
          <w:rtl w:val="0"/>
        </w:rPr>
      </w:r>
    </w:p>
    <w:p w:rsidR="00000000" w:rsidDel="00000000" w:rsidP="00000000" w:rsidRDefault="00000000" w:rsidRPr="00000000" w14:paraId="000000CE">
      <w:pPr>
        <w:rPr>
          <w:sz w:val="22"/>
          <w:szCs w:val="22"/>
        </w:rPr>
      </w:pPr>
      <w:r w:rsidDel="00000000" w:rsidR="00000000" w:rsidRPr="00000000">
        <w:rPr>
          <w:rtl w:val="0"/>
        </w:rPr>
      </w:r>
    </w:p>
    <w:tbl>
      <w:tblPr>
        <w:tblStyle w:val="Table9"/>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CF">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D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7">
            <w:pPr>
              <w:jc w:val="center"/>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A">
            <w:pPr>
              <w:jc w:val="center"/>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B">
            <w:pPr>
              <w:rPr>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315 Methods in the Content Areas: Humanities/Business (fall only)</w:t>
            </w:r>
          </w:p>
        </w:tc>
        <w:tc>
          <w:tcPr/>
          <w:p w:rsidR="00000000" w:rsidDel="00000000" w:rsidP="00000000" w:rsidRDefault="00000000" w:rsidRPr="00000000" w14:paraId="000000DC">
            <w:pPr>
              <w:jc w:val="center"/>
              <w:rPr/>
            </w:pPr>
            <w:r w:rsidDel="00000000" w:rsidR="00000000" w:rsidRPr="00000000">
              <w:rPr>
                <w:rtl w:val="0"/>
              </w:rPr>
              <w:t xml:space="preserve">4</w:t>
            </w:r>
          </w:p>
        </w:tc>
        <w:tc>
          <w:tcPr/>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rPr>
                <w:sz w:val="20"/>
                <w:szCs w:val="20"/>
              </w:rPr>
            </w:pPr>
            <w:r w:rsidDel="00000000" w:rsidR="00000000" w:rsidRPr="00000000">
              <w:rPr>
                <w:sz w:val="20"/>
                <w:szCs w:val="20"/>
                <w:highlight w:val="yellow"/>
                <w:rtl w:val="0"/>
              </w:rPr>
              <w:t xml:space="preserve">Major/EDU:</w:t>
            </w:r>
            <w:r w:rsidDel="00000000" w:rsidR="00000000" w:rsidRPr="00000000">
              <w:rPr>
                <w:sz w:val="20"/>
                <w:szCs w:val="20"/>
                <w:rtl w:val="0"/>
              </w:rPr>
              <w:t xml:space="preserve"> EDUC 495 Clinical Practice 2 Capstone Seminar (Student Teaching)</w:t>
            </w:r>
          </w:p>
          <w:p w:rsidR="00000000" w:rsidDel="00000000" w:rsidP="00000000" w:rsidRDefault="00000000" w:rsidRPr="00000000" w14:paraId="000000DF">
            <w:pPr>
              <w:rPr>
                <w:sz w:val="20"/>
                <w:szCs w:val="20"/>
              </w:rPr>
            </w:pPr>
            <w:r w:rsidDel="00000000" w:rsidR="00000000" w:rsidRPr="00000000">
              <w:rPr>
                <w:sz w:val="20"/>
                <w:szCs w:val="20"/>
                <w:rtl w:val="0"/>
              </w:rPr>
              <w:t xml:space="preserve">(spring only) </w:t>
            </w:r>
            <w:r w:rsidDel="00000000" w:rsidR="00000000" w:rsidRPr="00000000">
              <w:rPr>
                <w:sz w:val="20"/>
                <w:szCs w:val="20"/>
                <w:highlight w:val="yellow"/>
                <w:rtl w:val="0"/>
              </w:rPr>
              <w:t xml:space="preserve">Fulfills Co-op in major</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12</w:t>
            </w:r>
          </w:p>
        </w:tc>
        <w:tc>
          <w:tcPr/>
          <w:p w:rsidR="00000000" w:rsidDel="00000000" w:rsidP="00000000" w:rsidRDefault="00000000" w:rsidRPr="00000000" w14:paraId="000000E1">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E2">
            <w:pPr>
              <w:rPr>
                <w:sz w:val="20"/>
                <w:szCs w:val="20"/>
              </w:rPr>
            </w:pPr>
            <w:bookmarkStart w:colFirst="0" w:colLast="0" w:name="_heading=h.1fob9te" w:id="1"/>
            <w:bookmarkEnd w:id="1"/>
            <w:r w:rsidDel="00000000" w:rsidR="00000000" w:rsidRPr="00000000">
              <w:rPr>
                <w:sz w:val="20"/>
                <w:szCs w:val="20"/>
                <w:highlight w:val="yellow"/>
                <w:rtl w:val="0"/>
              </w:rPr>
              <w:t xml:space="preserve">EDU:</w:t>
            </w:r>
            <w:r w:rsidDel="00000000" w:rsidR="00000000" w:rsidRPr="00000000">
              <w:rPr>
                <w:sz w:val="20"/>
                <w:szCs w:val="20"/>
                <w:rtl w:val="0"/>
              </w:rPr>
              <w:t xml:space="preserve"> EDUC 350 Reading and Writing in Content Areas (fall only)</w:t>
            </w:r>
          </w:p>
        </w:tc>
        <w:tc>
          <w:tcPr/>
          <w:p w:rsidR="00000000" w:rsidDel="00000000" w:rsidP="00000000" w:rsidRDefault="00000000" w:rsidRPr="00000000" w14:paraId="000000E3">
            <w:pPr>
              <w:jc w:val="center"/>
              <w:rPr/>
            </w:pPr>
            <w:r w:rsidDel="00000000" w:rsidR="00000000" w:rsidRPr="00000000">
              <w:rPr>
                <w:rtl w:val="0"/>
              </w:rPr>
              <w:t xml:space="preserve">4</w:t>
            </w:r>
          </w:p>
        </w:tc>
        <w:tc>
          <w:tcPr/>
          <w:p w:rsidR="00000000" w:rsidDel="00000000" w:rsidP="00000000" w:rsidRDefault="00000000" w:rsidRPr="00000000" w14:paraId="000000E4">
            <w:pPr>
              <w:jc w:val="center"/>
              <w:rPr/>
            </w:pPr>
            <w:r w:rsidDel="00000000" w:rsidR="00000000" w:rsidRPr="00000000">
              <w:rPr>
                <w:rtl w:val="0"/>
              </w:rPr>
            </w:r>
          </w:p>
        </w:tc>
        <w:tc>
          <w:tcPr/>
          <w:p w:rsidR="00000000" w:rsidDel="00000000" w:rsidP="00000000" w:rsidRDefault="00000000" w:rsidRPr="00000000" w14:paraId="000000E5">
            <w:pPr>
              <w:rPr>
                <w:sz w:val="20"/>
                <w:szCs w:val="20"/>
              </w:rPr>
            </w:pPr>
            <w:r w:rsidDel="00000000" w:rsidR="00000000" w:rsidRPr="00000000">
              <w:rPr>
                <w:rtl w:val="0"/>
              </w:rPr>
            </w:r>
          </w:p>
        </w:tc>
        <w:tc>
          <w:tcPr/>
          <w:p w:rsidR="00000000" w:rsidDel="00000000" w:rsidP="00000000" w:rsidRDefault="00000000" w:rsidRPr="00000000" w14:paraId="000000E6">
            <w:pPr>
              <w:jc w:val="center"/>
              <w:rPr/>
            </w:pPr>
            <w:r w:rsidDel="00000000" w:rsidR="00000000" w:rsidRPr="00000000">
              <w:rPr>
                <w:rtl w:val="0"/>
              </w:rPr>
            </w:r>
          </w:p>
        </w:tc>
        <w:tc>
          <w:tcPr/>
          <w:p w:rsidR="00000000" w:rsidDel="00000000" w:rsidP="00000000" w:rsidRDefault="00000000" w:rsidRPr="00000000" w14:paraId="000000E7">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E8">
            <w:pPr>
              <w:rPr>
                <w:b w:val="1"/>
                <w:sz w:val="20"/>
                <w:szCs w:val="20"/>
              </w:rPr>
            </w:pPr>
            <w:r w:rsidDel="00000000" w:rsidR="00000000" w:rsidRPr="00000000">
              <w:rPr>
                <w:sz w:val="20"/>
                <w:szCs w:val="20"/>
                <w:highlight w:val="yellow"/>
                <w:rtl w:val="0"/>
              </w:rPr>
              <w:t xml:space="preserve">EDU:</w:t>
            </w:r>
            <w:r w:rsidDel="00000000" w:rsidR="00000000" w:rsidRPr="00000000">
              <w:rPr>
                <w:sz w:val="20"/>
                <w:szCs w:val="20"/>
                <w:rtl w:val="0"/>
              </w:rPr>
              <w:t xml:space="preserve"> EDUC 395 Topics: Clinical Practice Seminar (fall only)</w:t>
            </w:r>
            <w:r w:rsidDel="00000000" w:rsidR="00000000" w:rsidRPr="00000000">
              <w:rPr>
                <w:rtl w:val="0"/>
              </w:rPr>
            </w:r>
          </w:p>
        </w:tc>
        <w:tc>
          <w:tcPr/>
          <w:p w:rsidR="00000000" w:rsidDel="00000000" w:rsidP="00000000" w:rsidRDefault="00000000" w:rsidRPr="00000000" w14:paraId="000000E9">
            <w:pPr>
              <w:jc w:val="center"/>
              <w:rPr/>
            </w:pPr>
            <w:r w:rsidDel="00000000" w:rsidR="00000000" w:rsidRPr="00000000">
              <w:rPr>
                <w:rtl w:val="0"/>
              </w:rPr>
              <w:t xml:space="preserve">4</w:t>
            </w:r>
          </w:p>
        </w:tc>
        <w:tc>
          <w:tcPr/>
          <w:p w:rsidR="00000000" w:rsidDel="00000000" w:rsidP="00000000" w:rsidRDefault="00000000" w:rsidRPr="00000000" w14:paraId="000000EA">
            <w:pPr>
              <w:jc w:val="center"/>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c>
          <w:tcPr/>
          <w:p w:rsidR="00000000" w:rsidDel="00000000" w:rsidP="00000000" w:rsidRDefault="00000000" w:rsidRPr="00000000" w14:paraId="000000ED">
            <w:pPr>
              <w:jc w:val="center"/>
              <w:rPr/>
            </w:pPr>
            <w:r w:rsidDel="00000000" w:rsidR="00000000" w:rsidRPr="00000000">
              <w:rPr>
                <w:rtl w:val="0"/>
              </w:rPr>
            </w:r>
          </w:p>
        </w:tc>
      </w:tr>
      <w:tr>
        <w:trPr>
          <w:cantSplit w:val="0"/>
          <w:trHeight w:val="914.94140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jc w:val="center"/>
              <w:rPr/>
            </w:pPr>
            <w:r w:rsidDel="00000000" w:rsidR="00000000" w:rsidRPr="00000000">
              <w:rPr>
                <w:rtl w:val="0"/>
              </w:rPr>
              <w:t xml:space="preserve">4</w:t>
            </w:r>
          </w:p>
        </w:tc>
        <w:tc>
          <w:tcPr/>
          <w:p w:rsidR="00000000" w:rsidDel="00000000" w:rsidP="00000000" w:rsidRDefault="00000000" w:rsidRPr="00000000" w14:paraId="000000F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jc w:val="center"/>
              <w:rPr/>
            </w:pPr>
            <w:r w:rsidDel="00000000" w:rsidR="00000000" w:rsidRPr="00000000">
              <w:rPr>
                <w:rtl w:val="0"/>
              </w:rPr>
            </w:r>
          </w:p>
        </w:tc>
        <w:tc>
          <w:tcPr/>
          <w:p w:rsidR="00000000" w:rsidDel="00000000" w:rsidP="00000000" w:rsidRDefault="00000000" w:rsidRPr="00000000" w14:paraId="000000F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F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F5">
            <w:pPr>
              <w:jc w:val="center"/>
              <w:rPr/>
            </w:pPr>
            <w:r w:rsidDel="00000000" w:rsidR="00000000" w:rsidRPr="00000000">
              <w:rPr>
                <w:rtl w:val="0"/>
              </w:rPr>
              <w:t xml:space="preserve">16</w:t>
            </w:r>
          </w:p>
        </w:tc>
        <w:tc>
          <w:tcPr/>
          <w:p w:rsidR="00000000" w:rsidDel="00000000" w:rsidP="00000000" w:rsidRDefault="00000000" w:rsidRPr="00000000" w14:paraId="000000F6">
            <w:pPr>
              <w:jc w:val="cente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F8">
            <w:pPr>
              <w:jc w:val="center"/>
              <w:rPr/>
            </w:pPr>
            <w:r w:rsidDel="00000000" w:rsidR="00000000" w:rsidRPr="00000000">
              <w:rPr>
                <w:rtl w:val="0"/>
              </w:rPr>
              <w:t xml:space="preserve">12</w:t>
            </w:r>
          </w:p>
        </w:tc>
        <w:tc>
          <w:tcPr/>
          <w:p w:rsidR="00000000" w:rsidDel="00000000" w:rsidP="00000000" w:rsidRDefault="00000000" w:rsidRPr="00000000" w14:paraId="000000F9">
            <w:pPr>
              <w:jc w:val="center"/>
              <w:rPr/>
            </w:pPr>
            <w:r w:rsidDel="00000000" w:rsidR="00000000" w:rsidRPr="00000000">
              <w:rPr>
                <w:rtl w:val="0"/>
              </w:rPr>
            </w:r>
          </w:p>
        </w:tc>
      </w:tr>
    </w:tbl>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tab/>
      </w:r>
      <w:r w:rsidDel="00000000" w:rsidR="00000000" w:rsidRPr="00000000">
        <w:rPr>
          <w:b w:val="1"/>
          <w:sz w:val="20"/>
          <w:szCs w:val="20"/>
          <w:rtl w:val="0"/>
        </w:rPr>
        <w:t xml:space="preserve">GPA: </w:t>
      </w:r>
      <w:r w:rsidDel="00000000" w:rsidR="00000000" w:rsidRPr="00000000">
        <w:rPr>
          <w:sz w:val="20"/>
          <w:szCs w:val="20"/>
          <w:rtl w:val="0"/>
        </w:rPr>
        <w:t xml:space="preserve">2.0</w:t>
        <w:tab/>
      </w:r>
      <w:r w:rsidDel="00000000" w:rsidR="00000000" w:rsidRPr="00000000">
        <w:rPr>
          <w:b w:val="1"/>
          <w:sz w:val="20"/>
          <w:szCs w:val="20"/>
          <w:rtl w:val="0"/>
        </w:rPr>
        <w:t xml:space="preserve">TE GPA:</w:t>
      </w:r>
      <w:r w:rsidDel="00000000" w:rsidR="00000000" w:rsidRPr="00000000">
        <w:rPr>
          <w:sz w:val="20"/>
          <w:szCs w:val="20"/>
          <w:rtl w:val="0"/>
        </w:rPr>
        <w:t xml:space="preserve"> 3.0</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Total Credits with EDU requirements: 146</w:t>
      </w:r>
    </w:p>
    <w:p w:rsidR="00000000" w:rsidDel="00000000" w:rsidP="00000000" w:rsidRDefault="00000000" w:rsidRPr="00000000" w14:paraId="000000FE">
      <w:pPr>
        <w:rPr>
          <w:b w:val="1"/>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b w:val="1"/>
          <w:sz w:val="20"/>
          <w:szCs w:val="20"/>
          <w:rtl w:val="0"/>
        </w:rPr>
        <w:t xml:space="preserve">GPA: See EDU advisor for specific GPA requirements and application instructions. </w:t>
      </w: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b w:val="1"/>
          <w:sz w:val="18"/>
          <w:szCs w:val="18"/>
          <w:rtl w:val="0"/>
        </w:rPr>
        <w:t xml:space="preserve">Note: </w:t>
      </w:r>
      <w:r w:rsidDel="00000000" w:rsidR="00000000" w:rsidRPr="00000000">
        <w:rPr>
          <w:sz w:val="18"/>
          <w:szCs w:val="18"/>
          <w:rtl w:val="0"/>
        </w:rPr>
        <w:t xml:space="preserve">Three writing intensive courses are required in the major and/or school core (examples are marked by WI designation in the plan above).</w:t>
      </w:r>
    </w:p>
    <w:p w:rsidR="00000000" w:rsidDel="00000000" w:rsidP="00000000" w:rsidRDefault="00000000" w:rsidRPr="00000000" w14:paraId="00000102">
      <w:pPr>
        <w:rPr>
          <w:sz w:val="18"/>
          <w:szCs w:val="18"/>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color w:val="2f2f2f"/>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24CF6"/>
    <w:rPr>
      <w:sz w:val="18"/>
      <w:szCs w:val="18"/>
    </w:rPr>
  </w:style>
  <w:style w:type="character" w:styleId="BalloonTextChar" w:customStyle="1">
    <w:name w:val="Balloon Text Char"/>
    <w:basedOn w:val="DefaultParagraphFont"/>
    <w:link w:val="BalloonText"/>
    <w:uiPriority w:val="99"/>
    <w:semiHidden w:val="1"/>
    <w:rsid w:val="00024CF6"/>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Cqz3W7+EKTmXDxKtlkm9maaA==">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2023-05-14T19:06:00Z</dcterms:created>
  <dc:creator>Kevin Brenfo-Agyeman</dc:creator>
</cp:coreProperties>
</file>