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SoTL and Snacks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https://nancychick.wordpress.com/sotl-guide/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Sept. 11th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Introductions/Ground Rules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Oct. 2nd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Understanding SoTL (Chick Part I, Part II, 1,2)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Disciplines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Sharing Experiences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Nov. 6th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Doing SoTL (Chick Part II, 3,4,5,6)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Practical matters in getting started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Sharing Research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Dec. 4th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Launching Projects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Outlets (Chick, Part II, 7,8)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Sharing Publications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Next Steps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ncychick.wordpress.com/sot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